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8B1F" w14:textId="7362517F" w:rsidR="0092003C" w:rsidRPr="00CA520B" w:rsidRDefault="0092003C" w:rsidP="00CA520B">
      <w:pPr>
        <w:jc w:val="center"/>
        <w:rPr>
          <w:u w:val="single"/>
        </w:rPr>
      </w:pPr>
      <w:r w:rsidRPr="00F00220">
        <w:rPr>
          <w:u w:val="single"/>
        </w:rPr>
        <w:t>Zapytanie w celu oszacowania wartości zamówienia polegającego na</w:t>
      </w:r>
      <w:r>
        <w:rPr>
          <w:u w:val="single"/>
        </w:rPr>
        <w:t xml:space="preserve"> </w:t>
      </w:r>
      <w:r w:rsidR="004E0A02" w:rsidRPr="004E0A02">
        <w:rPr>
          <w:u w:val="single"/>
        </w:rPr>
        <w:t>dostaw</w:t>
      </w:r>
      <w:r w:rsidR="004E0A02">
        <w:rPr>
          <w:u w:val="single"/>
        </w:rPr>
        <w:t>ie</w:t>
      </w:r>
      <w:r w:rsidR="004E0A02" w:rsidRPr="004E0A02">
        <w:rPr>
          <w:u w:val="single"/>
        </w:rPr>
        <w:t xml:space="preserve"> urządzenia </w:t>
      </w:r>
      <w:proofErr w:type="spellStart"/>
      <w:r w:rsidR="004E0A02" w:rsidRPr="004E0A02">
        <w:rPr>
          <w:u w:val="single"/>
        </w:rPr>
        <w:t>scriber</w:t>
      </w:r>
      <w:proofErr w:type="spellEnd"/>
      <w:r w:rsidR="004E0A02" w:rsidRPr="004E0A02">
        <w:rPr>
          <w:u w:val="single"/>
        </w:rPr>
        <w:t xml:space="preserve"> do łamania laserów wraz ze szkoleniem</w:t>
      </w:r>
    </w:p>
    <w:p w14:paraId="658AF2B1" w14:textId="2AADFC1C" w:rsidR="0092003C" w:rsidRDefault="0092003C" w:rsidP="0092003C">
      <w:pPr>
        <w:ind w:firstLine="708"/>
      </w:pPr>
      <w:r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14:paraId="28689C81" w14:textId="77777777" w:rsidR="00A11083" w:rsidRDefault="00A11083" w:rsidP="00A11083">
      <w:pPr>
        <w:ind w:firstLine="708"/>
      </w:pPr>
      <w:r>
        <w:t>UWAGA!</w:t>
      </w:r>
    </w:p>
    <w:p w14:paraId="5AF5C946" w14:textId="413E03FB" w:rsidR="00A11083" w:rsidRDefault="00A11083" w:rsidP="00A11083">
      <w:pPr>
        <w:ind w:firstLine="708"/>
      </w:pPr>
      <w: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14:paraId="22376F61" w14:textId="77777777" w:rsidR="00A11083" w:rsidRDefault="00A11083" w:rsidP="00A11083">
      <w:pPr>
        <w:ind w:firstLine="708"/>
      </w:pPr>
      <w:r>
        <w:t>1. Zamawiający</w:t>
      </w:r>
    </w:p>
    <w:p w14:paraId="4BAB9F0D" w14:textId="77777777" w:rsid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 xml:space="preserve">Sieć Badawcza Łukasiewicz – Instytut Mikroelektroniki </w:t>
      </w:r>
      <w:r>
        <w:rPr>
          <w:b/>
          <w:bCs/>
        </w:rPr>
        <w:t xml:space="preserve">                                 </w:t>
      </w:r>
    </w:p>
    <w:p w14:paraId="43B893C3" w14:textId="5DD83D11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i Fotoniki</w:t>
      </w:r>
    </w:p>
    <w:p w14:paraId="1B096A2C" w14:textId="032B8782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al. Lotników 32/46</w:t>
      </w:r>
    </w:p>
    <w:p w14:paraId="533AD4A7" w14:textId="77777777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02-668 Warszawa</w:t>
      </w:r>
    </w:p>
    <w:p w14:paraId="5390F2CA" w14:textId="77777777" w:rsidR="00A11083" w:rsidRDefault="00A11083" w:rsidP="00CA520B">
      <w:pPr>
        <w:spacing w:after="0" w:line="240" w:lineRule="auto"/>
      </w:pPr>
    </w:p>
    <w:p w14:paraId="0FED52D5" w14:textId="12FCED20" w:rsidR="00A11083" w:rsidRDefault="00A11083" w:rsidP="00A11083">
      <w:pPr>
        <w:ind w:firstLine="708"/>
      </w:pPr>
      <w:r>
        <w:t>2. Przedmiot zamówienia</w:t>
      </w:r>
    </w:p>
    <w:p w14:paraId="2787EB95" w14:textId="71929B44" w:rsidR="004E0A02" w:rsidRDefault="00A11083" w:rsidP="004E0A02">
      <w:pPr>
        <w:ind w:firstLine="708"/>
      </w:pPr>
      <w:r>
        <w:t xml:space="preserve">Przedmiotem zamówienia jest </w:t>
      </w:r>
      <w:r w:rsidR="00672EB8" w:rsidRPr="00672EB8">
        <w:t>dostaw</w:t>
      </w:r>
      <w:r w:rsidR="00672EB8">
        <w:t>a</w:t>
      </w:r>
      <w:r w:rsidR="00672EB8" w:rsidRPr="00672EB8">
        <w:t xml:space="preserve"> </w:t>
      </w:r>
      <w:r w:rsidR="004E0A02" w:rsidRPr="004E0A02">
        <w:t xml:space="preserve">urządzenia </w:t>
      </w:r>
      <w:proofErr w:type="spellStart"/>
      <w:r w:rsidR="004E0A02" w:rsidRPr="004E0A02">
        <w:t>scriber</w:t>
      </w:r>
      <w:proofErr w:type="spellEnd"/>
      <w:r w:rsidR="004E0A02" w:rsidRPr="004E0A02">
        <w:t xml:space="preserve"> do łamania laserów </w:t>
      </w:r>
      <w:r w:rsidR="00672EB8" w:rsidRPr="00672EB8">
        <w:t xml:space="preserve">wraz ze szkoleniem </w:t>
      </w:r>
      <w:r>
        <w:t>zgodnie ze specyfikacją techniczną:</w:t>
      </w:r>
    </w:p>
    <w:p w14:paraId="695DA5A2" w14:textId="45146B80" w:rsidR="004E0A02" w:rsidRPr="004E0A02" w:rsidRDefault="004E0A02" w:rsidP="004E0A02">
      <w:pPr>
        <w:spacing w:before="240" w:after="120" w:line="276" w:lineRule="auto"/>
        <w:ind w:firstLine="708"/>
        <w:jc w:val="center"/>
        <w:rPr>
          <w:rFonts w:ascii="Calibri" w:eastAsia="Times New Roman" w:hAnsi="Calibri" w:cs="Calibri"/>
          <w:b/>
          <w:bCs/>
          <w:color w:val="auto"/>
          <w:spacing w:val="0"/>
          <w:sz w:val="22"/>
          <w:szCs w:val="22"/>
          <w:lang w:eastAsia="pl-PL"/>
        </w:rPr>
      </w:pPr>
      <w:r w:rsidRPr="004E0A02">
        <w:rPr>
          <w:rFonts w:ascii="Calibri" w:eastAsia="Times New Roman" w:hAnsi="Calibri" w:cs="Times New Roman"/>
          <w:b/>
          <w:color w:val="auto"/>
          <w:spacing w:val="0"/>
          <w:sz w:val="22"/>
          <w:lang w:eastAsia="pl-PL"/>
        </w:rPr>
        <w:t xml:space="preserve">Wymagania </w:t>
      </w:r>
      <w:r w:rsidRPr="004E0A02">
        <w:rPr>
          <w:rFonts w:ascii="Calibri" w:eastAsia="Times New Roman" w:hAnsi="Calibri" w:cs="Calibri"/>
          <w:b/>
          <w:iCs/>
          <w:color w:val="auto"/>
          <w:spacing w:val="0"/>
          <w:sz w:val="22"/>
          <w:szCs w:val="22"/>
        </w:rPr>
        <w:t xml:space="preserve">i parametry techniczne na dostawę urządzenia </w:t>
      </w:r>
      <w:proofErr w:type="spellStart"/>
      <w:r w:rsidRPr="004E0A02">
        <w:rPr>
          <w:rFonts w:ascii="Calibri" w:eastAsia="Times New Roman" w:hAnsi="Calibri" w:cs="Calibri"/>
          <w:b/>
          <w:iCs/>
          <w:color w:val="auto"/>
          <w:spacing w:val="0"/>
          <w:sz w:val="22"/>
          <w:szCs w:val="22"/>
        </w:rPr>
        <w:t>scriber</w:t>
      </w:r>
      <w:proofErr w:type="spellEnd"/>
      <w:r w:rsidRPr="004E0A02">
        <w:rPr>
          <w:rFonts w:ascii="Calibri" w:eastAsia="Times New Roman" w:hAnsi="Calibri" w:cs="Calibri"/>
          <w:b/>
          <w:iCs/>
          <w:color w:val="auto"/>
          <w:spacing w:val="0"/>
          <w:sz w:val="22"/>
          <w:szCs w:val="22"/>
        </w:rPr>
        <w:t xml:space="preserve"> do łamania laserów 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843"/>
        <w:gridCol w:w="5428"/>
        <w:gridCol w:w="1559"/>
      </w:tblGrid>
      <w:tr w:rsidR="004E0A02" w:rsidRPr="004E0A02" w14:paraId="636B6446" w14:textId="77777777" w:rsidTr="00BE458D">
        <w:trPr>
          <w:trHeight w:val="251"/>
        </w:trPr>
        <w:tc>
          <w:tcPr>
            <w:tcW w:w="668" w:type="dxa"/>
          </w:tcPr>
          <w:p w14:paraId="48A8319C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Lp.</w:t>
            </w:r>
          </w:p>
          <w:p w14:paraId="77840DE0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843" w:type="dxa"/>
            <w:vAlign w:val="center"/>
          </w:tcPr>
          <w:p w14:paraId="20155345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Nazwa parametru</w:t>
            </w:r>
          </w:p>
          <w:p w14:paraId="6D285282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5428" w:type="dxa"/>
          </w:tcPr>
          <w:p w14:paraId="3EF23A44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Wymaganie</w:t>
            </w:r>
          </w:p>
        </w:tc>
        <w:tc>
          <w:tcPr>
            <w:tcW w:w="1559" w:type="dxa"/>
          </w:tcPr>
          <w:p w14:paraId="6DB2120D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  <w:t>Kolumna do wypełnienia przez wykonawcę</w:t>
            </w:r>
          </w:p>
        </w:tc>
      </w:tr>
      <w:tr w:rsidR="004E0A02" w:rsidRPr="004E0A02" w14:paraId="6F885AEE" w14:textId="77777777" w:rsidTr="00BE458D">
        <w:trPr>
          <w:trHeight w:val="251"/>
        </w:trPr>
        <w:tc>
          <w:tcPr>
            <w:tcW w:w="668" w:type="dxa"/>
          </w:tcPr>
          <w:p w14:paraId="29F2AC78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1.</w:t>
            </w:r>
          </w:p>
        </w:tc>
        <w:tc>
          <w:tcPr>
            <w:tcW w:w="1843" w:type="dxa"/>
            <w:vAlign w:val="center"/>
          </w:tcPr>
          <w:p w14:paraId="5DCF45AB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Model</w:t>
            </w:r>
          </w:p>
        </w:tc>
        <w:tc>
          <w:tcPr>
            <w:tcW w:w="5428" w:type="dxa"/>
          </w:tcPr>
          <w:p w14:paraId="73B0954C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1559" w:type="dxa"/>
          </w:tcPr>
          <w:p w14:paraId="585C7F31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Podać</w:t>
            </w:r>
          </w:p>
        </w:tc>
      </w:tr>
      <w:tr w:rsidR="004E0A02" w:rsidRPr="004E0A02" w14:paraId="30595561" w14:textId="77777777" w:rsidTr="00BE458D">
        <w:trPr>
          <w:trHeight w:val="251"/>
        </w:trPr>
        <w:tc>
          <w:tcPr>
            <w:tcW w:w="668" w:type="dxa"/>
          </w:tcPr>
          <w:p w14:paraId="5D155E63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2.</w:t>
            </w:r>
          </w:p>
        </w:tc>
        <w:tc>
          <w:tcPr>
            <w:tcW w:w="1843" w:type="dxa"/>
            <w:vAlign w:val="center"/>
          </w:tcPr>
          <w:p w14:paraId="17D2D49C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Producent </w:t>
            </w:r>
          </w:p>
        </w:tc>
        <w:tc>
          <w:tcPr>
            <w:tcW w:w="5428" w:type="dxa"/>
          </w:tcPr>
          <w:p w14:paraId="0E331395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1559" w:type="dxa"/>
          </w:tcPr>
          <w:p w14:paraId="5882E35D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Podać</w:t>
            </w:r>
          </w:p>
        </w:tc>
      </w:tr>
      <w:tr w:rsidR="004E0A02" w:rsidRPr="004E0A02" w14:paraId="6B6581FE" w14:textId="77777777" w:rsidTr="00BE458D">
        <w:trPr>
          <w:trHeight w:val="251"/>
        </w:trPr>
        <w:tc>
          <w:tcPr>
            <w:tcW w:w="668" w:type="dxa"/>
          </w:tcPr>
          <w:p w14:paraId="6E2D47F9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3.</w:t>
            </w:r>
          </w:p>
        </w:tc>
        <w:tc>
          <w:tcPr>
            <w:tcW w:w="1843" w:type="dxa"/>
            <w:vAlign w:val="center"/>
          </w:tcPr>
          <w:p w14:paraId="5A2EFE36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Kraj pochodzenia</w:t>
            </w:r>
          </w:p>
        </w:tc>
        <w:tc>
          <w:tcPr>
            <w:tcW w:w="5428" w:type="dxa"/>
          </w:tcPr>
          <w:p w14:paraId="57DB470A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1559" w:type="dxa"/>
          </w:tcPr>
          <w:p w14:paraId="12413A47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Podać</w:t>
            </w:r>
          </w:p>
        </w:tc>
      </w:tr>
      <w:tr w:rsidR="004E0A02" w:rsidRPr="004E0A02" w14:paraId="29455503" w14:textId="77777777" w:rsidTr="00BE458D">
        <w:trPr>
          <w:trHeight w:val="205"/>
        </w:trPr>
        <w:tc>
          <w:tcPr>
            <w:tcW w:w="668" w:type="dxa"/>
          </w:tcPr>
          <w:p w14:paraId="3038E310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4.</w:t>
            </w:r>
          </w:p>
        </w:tc>
        <w:tc>
          <w:tcPr>
            <w:tcW w:w="1843" w:type="dxa"/>
            <w:vAlign w:val="center"/>
          </w:tcPr>
          <w:p w14:paraId="116BA4F9" w14:textId="77777777" w:rsidR="004E0A02" w:rsidRPr="004E0A02" w:rsidRDefault="004E0A02" w:rsidP="004E0A02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Rok produkcji</w:t>
            </w:r>
          </w:p>
        </w:tc>
        <w:tc>
          <w:tcPr>
            <w:tcW w:w="5428" w:type="dxa"/>
          </w:tcPr>
          <w:p w14:paraId="69A494DC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2025</w:t>
            </w:r>
          </w:p>
        </w:tc>
        <w:tc>
          <w:tcPr>
            <w:tcW w:w="1559" w:type="dxa"/>
          </w:tcPr>
          <w:p w14:paraId="69EFA2CC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1AF62C06" w14:textId="77777777" w:rsidTr="00BE458D">
        <w:trPr>
          <w:trHeight w:val="450"/>
        </w:trPr>
        <w:tc>
          <w:tcPr>
            <w:tcW w:w="668" w:type="dxa"/>
          </w:tcPr>
          <w:p w14:paraId="63DB12F4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5.</w:t>
            </w:r>
          </w:p>
        </w:tc>
        <w:tc>
          <w:tcPr>
            <w:tcW w:w="1843" w:type="dxa"/>
            <w:vAlign w:val="center"/>
          </w:tcPr>
          <w:p w14:paraId="667303B0" w14:textId="77777777" w:rsidR="004E0A02" w:rsidRPr="004E0A02" w:rsidRDefault="004E0A02" w:rsidP="004E0A02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Urządzenie </w:t>
            </w:r>
          </w:p>
        </w:tc>
        <w:tc>
          <w:tcPr>
            <w:tcW w:w="5428" w:type="dxa"/>
          </w:tcPr>
          <w:p w14:paraId="65616A1A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ar-SA"/>
              </w:rPr>
              <w:t xml:space="preserve">Fabrycznie nowe, nieużywane </w:t>
            </w:r>
          </w:p>
          <w:p w14:paraId="65304840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1559" w:type="dxa"/>
          </w:tcPr>
          <w:p w14:paraId="0850B32B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253CE13F" w14:textId="77777777" w:rsidTr="00BE458D">
        <w:trPr>
          <w:trHeight w:val="251"/>
        </w:trPr>
        <w:tc>
          <w:tcPr>
            <w:tcW w:w="668" w:type="dxa"/>
          </w:tcPr>
          <w:p w14:paraId="7103ACE1" w14:textId="77777777" w:rsidR="004E0A02" w:rsidRPr="004E0A02" w:rsidRDefault="004E0A02" w:rsidP="004E0A0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6.</w:t>
            </w:r>
          </w:p>
        </w:tc>
        <w:tc>
          <w:tcPr>
            <w:tcW w:w="1843" w:type="dxa"/>
            <w:vAlign w:val="center"/>
          </w:tcPr>
          <w:p w14:paraId="350C379D" w14:textId="77777777" w:rsidR="004E0A02" w:rsidRPr="004E0A02" w:rsidRDefault="004E0A02" w:rsidP="004E0A02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Główne zastosowanie </w:t>
            </w:r>
          </w:p>
        </w:tc>
        <w:tc>
          <w:tcPr>
            <w:tcW w:w="5428" w:type="dxa"/>
          </w:tcPr>
          <w:p w14:paraId="30BE4FE3" w14:textId="77777777" w:rsidR="004E0A02" w:rsidRPr="004E0A02" w:rsidRDefault="004E0A02" w:rsidP="004E0A02">
            <w:pPr>
              <w:spacing w:after="160" w:line="259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Urządzenie służy do precyzyjnego łamania struktur oraz podłoży półprzewodnikowych </w:t>
            </w:r>
          </w:p>
        </w:tc>
        <w:tc>
          <w:tcPr>
            <w:tcW w:w="1559" w:type="dxa"/>
          </w:tcPr>
          <w:p w14:paraId="100B86BE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52DE650F" w14:textId="77777777" w:rsidTr="00BE458D">
        <w:trPr>
          <w:trHeight w:val="251"/>
        </w:trPr>
        <w:tc>
          <w:tcPr>
            <w:tcW w:w="668" w:type="dxa"/>
          </w:tcPr>
          <w:p w14:paraId="2B99E689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7.</w:t>
            </w:r>
          </w:p>
        </w:tc>
        <w:tc>
          <w:tcPr>
            <w:tcW w:w="1843" w:type="dxa"/>
            <w:vAlign w:val="center"/>
          </w:tcPr>
          <w:p w14:paraId="4A2DD589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Ogólne wymagania</w:t>
            </w:r>
          </w:p>
        </w:tc>
        <w:tc>
          <w:tcPr>
            <w:tcW w:w="5428" w:type="dxa"/>
          </w:tcPr>
          <w:p w14:paraId="5B65B259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rPr>
                <w:rFonts w:eastAsia="Times New Roman" w:cs="Times New Roman"/>
                <w:color w:val="auto"/>
                <w:spacing w:val="0"/>
                <w:highlight w:val="yellow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Urządzenie musi umożliwiać precyzyjne łamanie struktur oraz podłoży półprzewodnikowych w określonych miejscach </w:t>
            </w:r>
          </w:p>
        </w:tc>
        <w:tc>
          <w:tcPr>
            <w:tcW w:w="1559" w:type="dxa"/>
          </w:tcPr>
          <w:p w14:paraId="6777E868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  <w:p w14:paraId="7E1BC315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  <w:p w14:paraId="0A17ECA6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</w:p>
        </w:tc>
      </w:tr>
      <w:tr w:rsidR="004E0A02" w:rsidRPr="004E0A02" w14:paraId="424B5E83" w14:textId="77777777" w:rsidTr="00BE458D">
        <w:trPr>
          <w:trHeight w:val="251"/>
        </w:trPr>
        <w:tc>
          <w:tcPr>
            <w:tcW w:w="668" w:type="dxa"/>
            <w:vMerge w:val="restart"/>
          </w:tcPr>
          <w:p w14:paraId="38D7D89A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</w:p>
          <w:p w14:paraId="4B9D51DA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lastRenderedPageBreak/>
              <w:t>8.</w:t>
            </w:r>
          </w:p>
        </w:tc>
        <w:tc>
          <w:tcPr>
            <w:tcW w:w="1843" w:type="dxa"/>
            <w:vMerge w:val="restart"/>
            <w:vAlign w:val="center"/>
          </w:tcPr>
          <w:p w14:paraId="6D5A0417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ar-SA"/>
              </w:rPr>
              <w:lastRenderedPageBreak/>
              <w:t>Pozycjonowanie miejsca przełomu</w:t>
            </w:r>
          </w:p>
        </w:tc>
        <w:tc>
          <w:tcPr>
            <w:tcW w:w="5428" w:type="dxa"/>
          </w:tcPr>
          <w:p w14:paraId="315BD5C6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en-GB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en-GB"/>
              </w:rPr>
              <w:t>8.1 Dokładność pozycjonowania ±10 mm</w:t>
            </w:r>
          </w:p>
        </w:tc>
        <w:tc>
          <w:tcPr>
            <w:tcW w:w="1559" w:type="dxa"/>
          </w:tcPr>
          <w:p w14:paraId="2B24EAAB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3E7DA984" w14:textId="77777777" w:rsidTr="00BE458D">
        <w:trPr>
          <w:trHeight w:val="251"/>
        </w:trPr>
        <w:tc>
          <w:tcPr>
            <w:tcW w:w="668" w:type="dxa"/>
            <w:vMerge/>
          </w:tcPr>
          <w:p w14:paraId="6075B0DD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E0EEFFE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</w:p>
        </w:tc>
        <w:tc>
          <w:tcPr>
            <w:tcW w:w="5428" w:type="dxa"/>
          </w:tcPr>
          <w:p w14:paraId="3E19B7B8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 xml:space="preserve">8.2 Urządzenie wyposażone w </w:t>
            </w:r>
            <w:proofErr w:type="spellStart"/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>parfokalny</w:t>
            </w:r>
            <w:proofErr w:type="spellEnd"/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 xml:space="preserve"> obiektyw o rozdzielczości min. 4 </w:t>
            </w:r>
            <w:r w:rsidRPr="004E0A02">
              <w:rPr>
                <w:rFonts w:eastAsia="Times New Roman" w:cs="Times New Roman"/>
                <w:color w:val="auto"/>
                <w:spacing w:val="0"/>
                <w:lang w:eastAsia="en-GB"/>
              </w:rPr>
              <w:t>mm</w:t>
            </w: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 xml:space="preserve"> z kolorową kamerą CCD</w:t>
            </w:r>
          </w:p>
        </w:tc>
        <w:tc>
          <w:tcPr>
            <w:tcW w:w="1559" w:type="dxa"/>
          </w:tcPr>
          <w:p w14:paraId="7BA9DC84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0120D8B2" w14:textId="77777777" w:rsidTr="00BE458D">
        <w:trPr>
          <w:trHeight w:val="251"/>
        </w:trPr>
        <w:tc>
          <w:tcPr>
            <w:tcW w:w="668" w:type="dxa"/>
            <w:vMerge/>
          </w:tcPr>
          <w:p w14:paraId="75DD06A4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B54ABAD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</w:p>
        </w:tc>
        <w:tc>
          <w:tcPr>
            <w:tcW w:w="5428" w:type="dxa"/>
          </w:tcPr>
          <w:p w14:paraId="3A4AED7B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>8.3 Kontrola ostrości zgrubna i precyzyjna</w:t>
            </w:r>
          </w:p>
        </w:tc>
        <w:tc>
          <w:tcPr>
            <w:tcW w:w="1559" w:type="dxa"/>
          </w:tcPr>
          <w:p w14:paraId="67855528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2D69DE1E" w14:textId="77777777" w:rsidTr="00BE458D">
        <w:trPr>
          <w:trHeight w:val="251"/>
        </w:trPr>
        <w:tc>
          <w:tcPr>
            <w:tcW w:w="668" w:type="dxa"/>
            <w:vMerge/>
          </w:tcPr>
          <w:p w14:paraId="6425CD20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93B21C4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</w:p>
        </w:tc>
        <w:tc>
          <w:tcPr>
            <w:tcW w:w="5428" w:type="dxa"/>
          </w:tcPr>
          <w:p w14:paraId="0C8B12AE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>8.4 Stolik umożliwiający ruch w osiach X-Y</w:t>
            </w:r>
          </w:p>
        </w:tc>
        <w:tc>
          <w:tcPr>
            <w:tcW w:w="1559" w:type="dxa"/>
          </w:tcPr>
          <w:p w14:paraId="4E5852B6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</w:p>
        </w:tc>
      </w:tr>
      <w:tr w:rsidR="004E0A02" w:rsidRPr="004E0A02" w14:paraId="57492CB2" w14:textId="77777777" w:rsidTr="00BE458D">
        <w:trPr>
          <w:trHeight w:val="251"/>
        </w:trPr>
        <w:tc>
          <w:tcPr>
            <w:tcW w:w="668" w:type="dxa"/>
            <w:vMerge w:val="restart"/>
          </w:tcPr>
          <w:p w14:paraId="517B021C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9.</w:t>
            </w:r>
          </w:p>
        </w:tc>
        <w:tc>
          <w:tcPr>
            <w:tcW w:w="1843" w:type="dxa"/>
            <w:vMerge w:val="restart"/>
            <w:vAlign w:val="center"/>
          </w:tcPr>
          <w:p w14:paraId="770CC482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ar-SA"/>
              </w:rPr>
              <w:t>Wielkość próbek do łamania</w:t>
            </w:r>
          </w:p>
          <w:p w14:paraId="3FDBB559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</w:p>
        </w:tc>
        <w:tc>
          <w:tcPr>
            <w:tcW w:w="5428" w:type="dxa"/>
          </w:tcPr>
          <w:p w14:paraId="6AC8F690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 xml:space="preserve">9.1 Urządzenie musi być wyposażone w moduł umożliwiający robienie precyzyjnych przełomów na próbkach o szerokości od 4 do 15 mm </w:t>
            </w:r>
          </w:p>
        </w:tc>
        <w:tc>
          <w:tcPr>
            <w:tcW w:w="1559" w:type="dxa"/>
          </w:tcPr>
          <w:p w14:paraId="3AA7ED58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6E0DB24A" w14:textId="77777777" w:rsidTr="00BE458D">
        <w:trPr>
          <w:trHeight w:val="251"/>
        </w:trPr>
        <w:tc>
          <w:tcPr>
            <w:tcW w:w="668" w:type="dxa"/>
            <w:vMerge/>
          </w:tcPr>
          <w:p w14:paraId="2D449FCD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CB34DF8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ar-SA"/>
              </w:rPr>
            </w:pPr>
          </w:p>
        </w:tc>
        <w:tc>
          <w:tcPr>
            <w:tcW w:w="5428" w:type="dxa"/>
          </w:tcPr>
          <w:p w14:paraId="45C2FC69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>9.2Urządzenie musi być wyposażone w moduł umożliwiający robienie precyzyjnych przełomów na podłożach o średnicy od 10 mm do 300 mm</w:t>
            </w:r>
          </w:p>
        </w:tc>
        <w:tc>
          <w:tcPr>
            <w:tcW w:w="1559" w:type="dxa"/>
          </w:tcPr>
          <w:p w14:paraId="645A0F66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</w:p>
        </w:tc>
      </w:tr>
      <w:tr w:rsidR="004E0A02" w:rsidRPr="004E0A02" w14:paraId="735B43C0" w14:textId="77777777" w:rsidTr="00BE458D">
        <w:trPr>
          <w:trHeight w:val="251"/>
        </w:trPr>
        <w:tc>
          <w:tcPr>
            <w:tcW w:w="668" w:type="dxa"/>
          </w:tcPr>
          <w:p w14:paraId="1E7DB2DA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10.</w:t>
            </w:r>
          </w:p>
        </w:tc>
        <w:tc>
          <w:tcPr>
            <w:tcW w:w="1843" w:type="dxa"/>
          </w:tcPr>
          <w:p w14:paraId="5743134F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Komputer z monitorem</w:t>
            </w:r>
          </w:p>
        </w:tc>
        <w:tc>
          <w:tcPr>
            <w:tcW w:w="5428" w:type="dxa"/>
          </w:tcPr>
          <w:p w14:paraId="4348ADCB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>10. 1 Komputer z monitorem oraz oprogramowaniem umożliwiającym monitorowanie miejsca wykonywania przełomu w czasie rzeczywistym</w:t>
            </w:r>
          </w:p>
        </w:tc>
        <w:tc>
          <w:tcPr>
            <w:tcW w:w="1559" w:type="dxa"/>
          </w:tcPr>
          <w:p w14:paraId="56401465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3D24202B" w14:textId="77777777" w:rsidTr="00BE458D">
        <w:trPr>
          <w:trHeight w:val="264"/>
        </w:trPr>
        <w:tc>
          <w:tcPr>
            <w:tcW w:w="668" w:type="dxa"/>
            <w:vMerge w:val="restart"/>
          </w:tcPr>
          <w:p w14:paraId="0F430D85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</w:rPr>
              <w:t>11.</w:t>
            </w:r>
          </w:p>
        </w:tc>
        <w:tc>
          <w:tcPr>
            <w:tcW w:w="1843" w:type="dxa"/>
            <w:vMerge w:val="restart"/>
          </w:tcPr>
          <w:p w14:paraId="1A6A6908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Akcesoria</w:t>
            </w:r>
          </w:p>
        </w:tc>
        <w:tc>
          <w:tcPr>
            <w:tcW w:w="5428" w:type="dxa"/>
          </w:tcPr>
          <w:p w14:paraId="7F4C16D8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en-GB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en-GB"/>
              </w:rPr>
              <w:t>11.1 Zapasowe rysiki diamentowe 3 szt.</w:t>
            </w:r>
          </w:p>
        </w:tc>
        <w:tc>
          <w:tcPr>
            <w:tcW w:w="1559" w:type="dxa"/>
          </w:tcPr>
          <w:p w14:paraId="25154C7D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4A74F6A9" w14:textId="77777777" w:rsidTr="00BE458D">
        <w:trPr>
          <w:trHeight w:val="415"/>
        </w:trPr>
        <w:tc>
          <w:tcPr>
            <w:tcW w:w="668" w:type="dxa"/>
            <w:vMerge/>
          </w:tcPr>
          <w:p w14:paraId="2DF2D369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843" w:type="dxa"/>
            <w:vMerge/>
          </w:tcPr>
          <w:p w14:paraId="57A5290D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5428" w:type="dxa"/>
          </w:tcPr>
          <w:p w14:paraId="7624C39E" w14:textId="77777777" w:rsidR="004E0A02" w:rsidRPr="004E0A02" w:rsidRDefault="004E0A02" w:rsidP="004E0A0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lang w:eastAsia="en-GB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  <w:lang w:eastAsia="en-GB"/>
              </w:rPr>
              <w:t>11.2 Chwytak próżniowy do chwytania wyłamanych fragmentów podłoży</w:t>
            </w:r>
          </w:p>
        </w:tc>
        <w:tc>
          <w:tcPr>
            <w:tcW w:w="1559" w:type="dxa"/>
          </w:tcPr>
          <w:p w14:paraId="7B7173D0" w14:textId="77777777" w:rsidR="004E0A02" w:rsidRPr="004E0A02" w:rsidRDefault="004E0A02" w:rsidP="004E0A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2E89F2D5" w14:textId="77777777" w:rsidTr="00BE458D">
        <w:trPr>
          <w:trHeight w:val="1094"/>
        </w:trPr>
        <w:tc>
          <w:tcPr>
            <w:tcW w:w="668" w:type="dxa"/>
          </w:tcPr>
          <w:p w14:paraId="0427943B" w14:textId="77777777" w:rsidR="004E0A02" w:rsidRPr="004E0A02" w:rsidRDefault="004E0A02" w:rsidP="004E0A02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  <w:t>12.</w:t>
            </w:r>
          </w:p>
        </w:tc>
        <w:tc>
          <w:tcPr>
            <w:tcW w:w="1843" w:type="dxa"/>
          </w:tcPr>
          <w:p w14:paraId="7D6E3EF2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Testy akceptacyjne</w:t>
            </w:r>
          </w:p>
        </w:tc>
        <w:tc>
          <w:tcPr>
            <w:tcW w:w="5428" w:type="dxa"/>
          </w:tcPr>
          <w:p w14:paraId="0971CDDE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12.1 Dostawca dostarczy raport z fabrycznych testów akceptacyjnych polegających na sprawdzeniu poprawności działania wszystkich układów i elementów urządzenia poprzez przeprowadzenie testów sprawdzających według norm producenta  </w:t>
            </w:r>
          </w:p>
        </w:tc>
        <w:tc>
          <w:tcPr>
            <w:tcW w:w="1559" w:type="dxa"/>
          </w:tcPr>
          <w:p w14:paraId="6DF36C2D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750659A1" w14:textId="77777777" w:rsidTr="00BE458D">
        <w:trPr>
          <w:trHeight w:val="1094"/>
        </w:trPr>
        <w:tc>
          <w:tcPr>
            <w:tcW w:w="668" w:type="dxa"/>
          </w:tcPr>
          <w:p w14:paraId="7D35B236" w14:textId="77777777" w:rsidR="004E0A02" w:rsidRPr="004E0A02" w:rsidRDefault="004E0A02" w:rsidP="004E0A02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  <w:t>13.</w:t>
            </w:r>
          </w:p>
        </w:tc>
        <w:tc>
          <w:tcPr>
            <w:tcW w:w="1843" w:type="dxa"/>
          </w:tcPr>
          <w:p w14:paraId="1002C3D9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Szkolenie</w:t>
            </w:r>
          </w:p>
        </w:tc>
        <w:tc>
          <w:tcPr>
            <w:tcW w:w="5428" w:type="dxa"/>
          </w:tcPr>
          <w:p w14:paraId="5520039E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13.1 Dostawca zapewni szkolenie z obsługi urządzenia dla min 4 osób obejmujące (dopuszczone szkolenie online):</w:t>
            </w:r>
          </w:p>
          <w:p w14:paraId="4837AF8C" w14:textId="77777777" w:rsidR="004E0A02" w:rsidRPr="004E0A02" w:rsidRDefault="004E0A02" w:rsidP="004E0A02">
            <w:pPr>
              <w:pageBreakBefore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Obsługę</w:t>
            </w:r>
          </w:p>
          <w:p w14:paraId="1B565DF6" w14:textId="77777777" w:rsidR="004E0A02" w:rsidRPr="004E0A02" w:rsidRDefault="004E0A02" w:rsidP="004E0A02">
            <w:pPr>
              <w:pageBreakBefore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Budowę urządzenia (podstawowe elementy składowe)</w:t>
            </w:r>
          </w:p>
        </w:tc>
        <w:tc>
          <w:tcPr>
            <w:tcW w:w="1559" w:type="dxa"/>
          </w:tcPr>
          <w:p w14:paraId="5B5F6083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4BBDD4F3" w14:textId="77777777" w:rsidTr="00BE458D">
        <w:trPr>
          <w:trHeight w:val="786"/>
        </w:trPr>
        <w:tc>
          <w:tcPr>
            <w:tcW w:w="668" w:type="dxa"/>
            <w:vMerge w:val="restart"/>
          </w:tcPr>
          <w:p w14:paraId="0FA95FBD" w14:textId="77777777" w:rsidR="004E0A02" w:rsidRPr="004E0A02" w:rsidRDefault="004E0A02" w:rsidP="004E0A02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  <w:t>14.</w:t>
            </w:r>
          </w:p>
        </w:tc>
        <w:tc>
          <w:tcPr>
            <w:tcW w:w="1843" w:type="dxa"/>
            <w:vMerge w:val="restart"/>
          </w:tcPr>
          <w:p w14:paraId="6FCA9F03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Dokumentacja techniczna oraz instrukcja użytkowania</w:t>
            </w:r>
          </w:p>
        </w:tc>
        <w:tc>
          <w:tcPr>
            <w:tcW w:w="5428" w:type="dxa"/>
          </w:tcPr>
          <w:p w14:paraId="4B432FA0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14.1 Bezterminowa licencja do pełnego wykorzystania urządzenia i jego funkcji do zastosowań zarówno</w:t>
            </w:r>
          </w:p>
          <w:p w14:paraId="6B86D893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naukowych, badawczo-rozwojowych oraz komercyjnych</w:t>
            </w:r>
          </w:p>
        </w:tc>
        <w:tc>
          <w:tcPr>
            <w:tcW w:w="1559" w:type="dxa"/>
          </w:tcPr>
          <w:p w14:paraId="2F2F7C3C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1CD22D3F" w14:textId="77777777" w:rsidTr="00BE458D">
        <w:trPr>
          <w:trHeight w:val="274"/>
        </w:trPr>
        <w:tc>
          <w:tcPr>
            <w:tcW w:w="668" w:type="dxa"/>
            <w:vMerge/>
          </w:tcPr>
          <w:p w14:paraId="4C9F4F3C" w14:textId="77777777" w:rsidR="004E0A02" w:rsidRPr="004E0A02" w:rsidRDefault="004E0A02" w:rsidP="004E0A02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</w:pPr>
          </w:p>
        </w:tc>
        <w:tc>
          <w:tcPr>
            <w:tcW w:w="1843" w:type="dxa"/>
            <w:vMerge/>
          </w:tcPr>
          <w:p w14:paraId="16AF8C4A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5428" w:type="dxa"/>
          </w:tcPr>
          <w:p w14:paraId="67A59E0A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14.2 Komplet dokumentacji do urządzenia w języku polskim i/lub angielskim, w tym instrukcja obsługi w języku polskim, </w:t>
            </w:r>
          </w:p>
        </w:tc>
        <w:tc>
          <w:tcPr>
            <w:tcW w:w="1559" w:type="dxa"/>
          </w:tcPr>
          <w:p w14:paraId="57ACD773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57113C7D" w14:textId="77777777" w:rsidTr="00BE458D">
        <w:trPr>
          <w:trHeight w:val="778"/>
        </w:trPr>
        <w:tc>
          <w:tcPr>
            <w:tcW w:w="668" w:type="dxa"/>
            <w:vMerge/>
          </w:tcPr>
          <w:p w14:paraId="461E94E4" w14:textId="77777777" w:rsidR="004E0A02" w:rsidRPr="004E0A02" w:rsidRDefault="004E0A02" w:rsidP="004E0A02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</w:pPr>
          </w:p>
        </w:tc>
        <w:tc>
          <w:tcPr>
            <w:tcW w:w="1843" w:type="dxa"/>
            <w:vMerge/>
          </w:tcPr>
          <w:p w14:paraId="1E42C1DA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jc w:val="left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5428" w:type="dxa"/>
          </w:tcPr>
          <w:p w14:paraId="02138591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14.3 Dokumentacja musi być dostarczona w wersji drukowanej (na papierze przystosowanym do laboratorium typu </w:t>
            </w:r>
            <w:proofErr w:type="spellStart"/>
            <w:r w:rsidRPr="004E0A02">
              <w:rPr>
                <w:rFonts w:eastAsia="Times New Roman" w:cs="Times New Roman"/>
                <w:color w:val="auto"/>
                <w:spacing w:val="0"/>
              </w:rPr>
              <w:t>clean-room</w:t>
            </w:r>
            <w:proofErr w:type="spellEnd"/>
            <w:r w:rsidRPr="004E0A02">
              <w:rPr>
                <w:rFonts w:eastAsia="Times New Roman" w:cs="Times New Roman"/>
                <w:color w:val="auto"/>
                <w:spacing w:val="0"/>
              </w:rPr>
              <w:t>) oraz w wersji cyfrowej</w:t>
            </w:r>
          </w:p>
        </w:tc>
        <w:tc>
          <w:tcPr>
            <w:tcW w:w="1559" w:type="dxa"/>
          </w:tcPr>
          <w:p w14:paraId="41F7B616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  <w:tr w:rsidR="004E0A02" w:rsidRPr="004E0A02" w14:paraId="656BDDA2" w14:textId="77777777" w:rsidTr="00BE458D">
        <w:trPr>
          <w:trHeight w:val="628"/>
        </w:trPr>
        <w:tc>
          <w:tcPr>
            <w:tcW w:w="668" w:type="dxa"/>
          </w:tcPr>
          <w:p w14:paraId="4B4A77BA" w14:textId="77777777" w:rsidR="004E0A02" w:rsidRPr="004E0A02" w:rsidRDefault="004E0A02" w:rsidP="004E0A02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</w:pPr>
            <w:r w:rsidRPr="004E0A02">
              <w:rPr>
                <w:rFonts w:eastAsia="Times New Roman" w:cs="Times New Roman"/>
                <w:b/>
                <w:color w:val="auto"/>
                <w:spacing w:val="0"/>
                <w:lang w:eastAsia="pl-PL"/>
              </w:rPr>
              <w:t>15.</w:t>
            </w:r>
          </w:p>
        </w:tc>
        <w:tc>
          <w:tcPr>
            <w:tcW w:w="1843" w:type="dxa"/>
          </w:tcPr>
          <w:p w14:paraId="02DFFF21" w14:textId="77777777" w:rsidR="004E0A02" w:rsidRPr="004E0A02" w:rsidRDefault="004E0A02" w:rsidP="004E0A02">
            <w:pPr>
              <w:suppressAutoHyphens/>
              <w:snapToGrid w:val="0"/>
              <w:spacing w:after="160" w:line="259" w:lineRule="auto"/>
              <w:ind w:left="33"/>
              <w:jc w:val="left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Pompa próżniowa</w:t>
            </w:r>
          </w:p>
        </w:tc>
        <w:tc>
          <w:tcPr>
            <w:tcW w:w="5428" w:type="dxa"/>
          </w:tcPr>
          <w:p w14:paraId="664B3F52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 xml:space="preserve">15.1 </w:t>
            </w:r>
            <w:r w:rsidRPr="004E0A02">
              <w:rPr>
                <w:rFonts w:eastAsia="Times New Roman" w:cs="Times New Roman"/>
                <w:color w:val="auto"/>
                <w:spacing w:val="0"/>
                <w:lang w:eastAsia="pl-PL"/>
              </w:rPr>
              <w:t>Pompa próżniowa zapewniająca uchwyt podłoża w trakcie procesu</w:t>
            </w:r>
          </w:p>
          <w:p w14:paraId="6FC91EAE" w14:textId="77777777" w:rsidR="004E0A02" w:rsidRPr="004E0A02" w:rsidRDefault="004E0A02" w:rsidP="004E0A02">
            <w:pPr>
              <w:pageBreakBefore/>
              <w:spacing w:after="0" w:line="240" w:lineRule="auto"/>
              <w:rPr>
                <w:rFonts w:eastAsia="Times New Roman" w:cs="Times New Roman"/>
                <w:color w:val="auto"/>
                <w:spacing w:val="0"/>
              </w:rPr>
            </w:pPr>
          </w:p>
        </w:tc>
        <w:tc>
          <w:tcPr>
            <w:tcW w:w="1559" w:type="dxa"/>
          </w:tcPr>
          <w:p w14:paraId="11AAEDA7" w14:textId="77777777" w:rsidR="004E0A02" w:rsidRPr="004E0A02" w:rsidRDefault="004E0A02" w:rsidP="004E0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</w:rPr>
            </w:pPr>
            <w:r w:rsidRPr="004E0A02">
              <w:rPr>
                <w:rFonts w:eastAsia="Times New Roman" w:cs="Times New Roman"/>
                <w:color w:val="auto"/>
                <w:spacing w:val="0"/>
              </w:rPr>
              <w:t>Potwierdzić</w:t>
            </w:r>
          </w:p>
        </w:tc>
      </w:tr>
    </w:tbl>
    <w:p w14:paraId="66AFD9D5" w14:textId="77777777" w:rsidR="004E0A02" w:rsidRDefault="004E0A02" w:rsidP="004E0A02">
      <w:pPr>
        <w:ind w:firstLine="708"/>
      </w:pPr>
    </w:p>
    <w:p w14:paraId="62CD1B3A" w14:textId="24658BC5" w:rsidR="004B73FF" w:rsidRDefault="004E0A02" w:rsidP="004E0A02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93E2BB6" w14:textId="77777777" w:rsidR="004E0A02" w:rsidRDefault="004E0A02" w:rsidP="004E0A02">
      <w:pPr>
        <w:ind w:firstLine="708"/>
        <w:rPr>
          <w:sz w:val="18"/>
          <w:szCs w:val="18"/>
        </w:rPr>
      </w:pPr>
    </w:p>
    <w:p w14:paraId="691C1E9D" w14:textId="77777777" w:rsidR="00A11083" w:rsidRDefault="00A11083" w:rsidP="00A11083">
      <w:pPr>
        <w:pStyle w:val="Bezodstpw"/>
      </w:pPr>
      <w:r w:rsidRPr="00A11083">
        <w:lastRenderedPageBreak/>
        <w:t>3. Elementy WYCENY</w:t>
      </w:r>
    </w:p>
    <w:p w14:paraId="407D0527" w14:textId="77777777" w:rsidR="00A11083" w:rsidRPr="00A11083" w:rsidRDefault="00A11083" w:rsidP="00A11083">
      <w:pPr>
        <w:pStyle w:val="Bezodstpw"/>
      </w:pPr>
    </w:p>
    <w:p w14:paraId="76CF5974" w14:textId="77777777" w:rsidR="00A11083" w:rsidRPr="00A11083" w:rsidRDefault="00A11083" w:rsidP="00A11083">
      <w:pPr>
        <w:pStyle w:val="Bezodstpw"/>
      </w:pPr>
      <w:r w:rsidRPr="00A11083">
        <w:t>W wycenie Wykonawca powinien zawrzeć:</w:t>
      </w:r>
    </w:p>
    <w:p w14:paraId="0BA7B0FA" w14:textId="77777777" w:rsidR="00A11083" w:rsidRPr="00A11083" w:rsidRDefault="00A11083" w:rsidP="00A11083">
      <w:pPr>
        <w:pStyle w:val="Bezodstpw"/>
      </w:pPr>
      <w:r w:rsidRPr="00A11083">
        <w:t>1) nazwę, adres Wykonawcy, osobę do kontaktów;</w:t>
      </w:r>
    </w:p>
    <w:p w14:paraId="342C1001" w14:textId="2A165FCD" w:rsidR="00A11083" w:rsidRPr="00A11083" w:rsidRDefault="00A11083" w:rsidP="00A11083">
      <w:pPr>
        <w:pStyle w:val="Bezodstpw"/>
      </w:pPr>
      <w:r w:rsidRPr="00A11083">
        <w:t>2) cenę w PLN /EUR/ USD/ GBP (netto i brutto) uwzględniającą wszystkie koszty realizacji zamówienia.</w:t>
      </w:r>
    </w:p>
    <w:p w14:paraId="5F61115C" w14:textId="77777777" w:rsidR="00A11083" w:rsidRPr="00A11083" w:rsidRDefault="00A11083" w:rsidP="00A11083">
      <w:pPr>
        <w:pStyle w:val="Bezodstpw"/>
      </w:pPr>
    </w:p>
    <w:p w14:paraId="196EC2DE" w14:textId="77777777" w:rsidR="00A11083" w:rsidRDefault="00A11083" w:rsidP="00A11083">
      <w:pPr>
        <w:pStyle w:val="Bezodstpw"/>
      </w:pPr>
      <w:r w:rsidRPr="00A11083">
        <w:t>4. Forma składania WYCENY - elektronicznie na adres:</w:t>
      </w:r>
    </w:p>
    <w:p w14:paraId="62F24051" w14:textId="77777777" w:rsidR="00A11083" w:rsidRPr="00A11083" w:rsidRDefault="00A11083" w:rsidP="00A11083">
      <w:pPr>
        <w:pStyle w:val="Bezodstpw"/>
      </w:pPr>
    </w:p>
    <w:p w14:paraId="6594A720" w14:textId="2B5C3899" w:rsidR="00A11083" w:rsidRDefault="00A11083" w:rsidP="00A11083">
      <w:pPr>
        <w:pStyle w:val="Bezodstpw"/>
      </w:pPr>
      <w:r w:rsidRPr="00A11083">
        <w:t> </w:t>
      </w:r>
      <w:hyperlink r:id="rId7" w:history="1">
        <w:r w:rsidR="004B73FF" w:rsidRPr="009F4381">
          <w:rPr>
            <w:rStyle w:val="Hipercze"/>
            <w:rFonts w:cs="Verdana"/>
          </w:rPr>
          <w:t>marek.ekielski@imif.lukasiewicz.gov.pl</w:t>
        </w:r>
      </w:hyperlink>
    </w:p>
    <w:p w14:paraId="191FDD3A" w14:textId="77777777" w:rsidR="004B73FF" w:rsidRPr="00A11083" w:rsidRDefault="004B73FF" w:rsidP="00A11083">
      <w:pPr>
        <w:pStyle w:val="Bezodstpw"/>
      </w:pPr>
    </w:p>
    <w:p w14:paraId="4B62C92A" w14:textId="78D86D4A" w:rsidR="00A11083" w:rsidRDefault="00A11083" w:rsidP="00A11083">
      <w:pPr>
        <w:pStyle w:val="Bezodstpw"/>
      </w:pPr>
      <w:r w:rsidRPr="00A11083">
        <w:t xml:space="preserve">5. Termin składania WYCENY: </w:t>
      </w:r>
      <w:r w:rsidR="004E0A02">
        <w:t>21.05</w:t>
      </w:r>
      <w:r w:rsidR="004B73FF">
        <w:t>.2025</w:t>
      </w:r>
      <w:r w:rsidRPr="00A11083">
        <w:t xml:space="preserve"> r.</w:t>
      </w:r>
    </w:p>
    <w:p w14:paraId="6C62066D" w14:textId="77777777" w:rsidR="00A11083" w:rsidRPr="00A11083" w:rsidRDefault="00A11083" w:rsidP="00A11083">
      <w:pPr>
        <w:pStyle w:val="Bezodstpw"/>
      </w:pPr>
    </w:p>
    <w:p w14:paraId="4242BC84" w14:textId="27CC2886" w:rsidR="00A11083" w:rsidRDefault="00A11083" w:rsidP="00A11083">
      <w:pPr>
        <w:pStyle w:val="Bezodstpw"/>
      </w:pPr>
      <w:r w:rsidRPr="00A11083">
        <w:t>6. Osoba upoważniona do kontaktów:</w:t>
      </w:r>
    </w:p>
    <w:p w14:paraId="74ED6BB0" w14:textId="77777777" w:rsidR="00A11083" w:rsidRPr="00A11083" w:rsidRDefault="00A11083" w:rsidP="00A11083">
      <w:pPr>
        <w:pStyle w:val="Bezodstpw"/>
      </w:pPr>
    </w:p>
    <w:p w14:paraId="2A130AE0" w14:textId="74BF90B7" w:rsidR="00A11083" w:rsidRDefault="00000000" w:rsidP="004B73FF">
      <w:pPr>
        <w:pStyle w:val="Bezodstpw"/>
      </w:pPr>
      <w:hyperlink r:id="rId8" w:history="1">
        <w:r w:rsidR="004B73FF" w:rsidRPr="009F4381">
          <w:rPr>
            <w:rStyle w:val="Hipercze"/>
            <w:rFonts w:cs="Verdana"/>
          </w:rPr>
          <w:t>marek.ekielski@imif.lukasiewicz.gov.pl</w:t>
        </w:r>
      </w:hyperlink>
    </w:p>
    <w:p w14:paraId="335CED23" w14:textId="77777777" w:rsidR="004B73FF" w:rsidRPr="00A11083" w:rsidRDefault="004B73FF" w:rsidP="004B73FF">
      <w:pPr>
        <w:pStyle w:val="Bezodstpw"/>
      </w:pPr>
    </w:p>
    <w:sectPr w:rsidR="004B73FF" w:rsidRPr="00A11083" w:rsidSect="00F4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181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38DC" w14:textId="77777777" w:rsidR="003C1071" w:rsidRDefault="003C1071" w:rsidP="006747BD">
      <w:pPr>
        <w:spacing w:after="0" w:line="240" w:lineRule="auto"/>
      </w:pPr>
      <w:r>
        <w:separator/>
      </w:r>
    </w:p>
  </w:endnote>
  <w:endnote w:type="continuationSeparator" w:id="0">
    <w:p w14:paraId="2BA1AB2C" w14:textId="77777777" w:rsidR="003C1071" w:rsidRDefault="003C1071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85ED" w14:textId="77777777" w:rsidR="00AC45ED" w:rsidRDefault="00AC4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EAD" w14:textId="18E13636" w:rsidR="00EC4A8F" w:rsidRDefault="00EC4A8F">
    <w:pPr>
      <w:pStyle w:val="Stopka"/>
    </w:pPr>
  </w:p>
  <w:p w14:paraId="4E490DE2" w14:textId="61A25EE5" w:rsidR="00EC4A8F" w:rsidRDefault="00EC4A8F">
    <w:pPr>
      <w:pStyle w:val="Stopka"/>
    </w:pPr>
    <w:r>
      <w:rPr>
        <w:noProof/>
      </w:rPr>
      <w:drawing>
        <wp:inline distT="0" distB="0" distL="0" distR="0" wp14:anchorId="12E96DAB" wp14:editId="55A97961">
          <wp:extent cx="5145405" cy="658495"/>
          <wp:effectExtent l="0" t="0" r="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D1E658" w14:textId="4BB08772" w:rsidR="00F348FC" w:rsidRDefault="00F348FC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47E9A21" w14:textId="50640312" w:rsidR="00F348FC" w:rsidRDefault="00EC4A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C3188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02750FE4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5FEF5D5E" w14:textId="77777777" w:rsidR="00F348FC" w:rsidRPr="00B7224A" w:rsidRDefault="00F348F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7CDDBA2F" w14:textId="4F9EF70B" w:rsidR="00F348FC" w:rsidRDefault="00F348F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="00EC4A8F" w:rsidRPr="00EC4A8F">
                            <w:t>BDO: 000505091</w:t>
                          </w:r>
                        </w:p>
                        <w:p w14:paraId="613CA884" w14:textId="77777777" w:rsidR="00F348FC" w:rsidRPr="00414E55" w:rsidRDefault="00F348F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B02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C6ZThV3QEAAKQDAAAOAAAAAAAAAAAAAAAAAC4CAABkcnMvZTJvRG9jLnhtbFBLAQItABQABgAI&#10;AAAAIQCI6MUY3gAAAAsBAAAPAAAAAAAAAAAAAAAAADcEAABkcnMvZG93bnJldi54bWxQSwUGAAAA&#10;AAQABADzAAAAQgUAAAAA&#10;" filled="f" stroked="f">
              <o:lock v:ext="edit" aspectratio="t"/>
              <v:textbox style="mso-fit-shape-to-text:t" inset="0,0,0,0">
                <w:txbxContent>
                  <w:p w14:paraId="682C3188" w14:textId="77777777" w:rsidR="00F348FC" w:rsidRDefault="00F348F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02750FE4" w14:textId="77777777" w:rsidR="00F348FC" w:rsidRDefault="00F348F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5FEF5D5E" w14:textId="77777777" w:rsidR="00F348FC" w:rsidRPr="00B7224A" w:rsidRDefault="00F348F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7CDDBA2F" w14:textId="4F9EF70B" w:rsidR="00F348FC" w:rsidRDefault="00F348F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="00EC4A8F" w:rsidRPr="00EC4A8F">
                      <w:t>BDO: 000505091</w:t>
                    </w:r>
                  </w:p>
                  <w:p w14:paraId="613CA884" w14:textId="77777777" w:rsidR="00F348FC" w:rsidRPr="00414E55" w:rsidRDefault="00F348F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9C22" w14:textId="77698B34" w:rsidR="00F348FC" w:rsidRDefault="00F348FC" w:rsidP="00D40690">
    <w:pPr>
      <w:pStyle w:val="Stopka"/>
    </w:pPr>
  </w:p>
  <w:p w14:paraId="2B1E46C9" w14:textId="64C2B435" w:rsidR="00F348FC" w:rsidRDefault="00EC4A8F" w:rsidP="00D40690">
    <w:pPr>
      <w:pStyle w:val="Stopka"/>
    </w:pPr>
    <w:r>
      <w:rPr>
        <w:noProof/>
      </w:rPr>
      <w:drawing>
        <wp:inline distT="0" distB="0" distL="0" distR="0" wp14:anchorId="6B87DDAA" wp14:editId="0960E1CA">
          <wp:extent cx="5145405" cy="658495"/>
          <wp:effectExtent l="0" t="0" r="0" b="0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E59BF" w14:textId="77777777" w:rsidR="00F348FC" w:rsidRPr="00D40690" w:rsidRDefault="00F348FC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715CE3A" w14:textId="5BA45226" w:rsidR="00F348FC" w:rsidRPr="00D06D36" w:rsidRDefault="00EC4A8F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6017" w14:textId="77777777" w:rsidR="00F348FC" w:rsidRPr="00DA52A1" w:rsidRDefault="00F348F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468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" filled="f" stroked="f">
              <o:lock v:ext="edit" aspectratio="t"/>
              <v:textbox style="mso-fit-shape-to-text:t" inset="0,0,0,0">
                <w:txbxContent>
                  <w:p w14:paraId="46C76017" w14:textId="77777777" w:rsidR="00F348FC" w:rsidRPr="00DA52A1" w:rsidRDefault="00F348FC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C837" w14:textId="77777777" w:rsidR="00F348FC" w:rsidRDefault="00F348F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5C7BF12" w14:textId="77777777" w:rsidR="00F348FC" w:rsidRPr="006E7D24" w:rsidRDefault="00F348F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14:paraId="1AF9EE42" w14:textId="7B9C94B3" w:rsidR="00F348FC" w:rsidRPr="008919CF" w:rsidRDefault="00F348F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="00AC45ED" w:rsidRPr="00EF5860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54E5D" id="Text Box 7" o:spid="_x0000_s1028" type="#_x0000_t202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" filled="f" stroked="f">
              <o:lock v:ext="edit" aspectratio="t"/>
              <v:textbox inset="0,0,0,0">
                <w:txbxContent>
                  <w:p w14:paraId="4002C837" w14:textId="77777777" w:rsidR="00F348FC" w:rsidRDefault="00F348F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5C7BF12" w14:textId="77777777" w:rsidR="00F348FC" w:rsidRPr="006E7D24" w:rsidRDefault="00F348F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14:paraId="1AF9EE42" w14:textId="7B9C94B3" w:rsidR="00F348FC" w:rsidRPr="008919CF" w:rsidRDefault="00F348F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="00AC45ED" w:rsidRPr="00EF5860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CFBE" w14:textId="77777777" w:rsidR="003C1071" w:rsidRDefault="003C1071" w:rsidP="006747BD">
      <w:pPr>
        <w:spacing w:after="0" w:line="240" w:lineRule="auto"/>
      </w:pPr>
      <w:r>
        <w:separator/>
      </w:r>
    </w:p>
  </w:footnote>
  <w:footnote w:type="continuationSeparator" w:id="0">
    <w:p w14:paraId="4CA6877B" w14:textId="77777777" w:rsidR="003C1071" w:rsidRDefault="003C1071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BEF4" w14:textId="77777777" w:rsidR="00AC45ED" w:rsidRDefault="00AC4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9939" w14:textId="77777777" w:rsidR="00AC45ED" w:rsidRDefault="00AC45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6403" w14:textId="61EA21BC" w:rsidR="00F348FC" w:rsidRPr="00DA52A1" w:rsidRDefault="00EC4A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74F71"/>
    <w:multiLevelType w:val="hybridMultilevel"/>
    <w:tmpl w:val="D7FEEC10"/>
    <w:lvl w:ilvl="0" w:tplc="1CA4FE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B14825"/>
    <w:multiLevelType w:val="multilevel"/>
    <w:tmpl w:val="D06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00197"/>
    <w:multiLevelType w:val="hybridMultilevel"/>
    <w:tmpl w:val="63CAC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6311"/>
    <w:multiLevelType w:val="hybridMultilevel"/>
    <w:tmpl w:val="92CACF90"/>
    <w:lvl w:ilvl="0" w:tplc="861E935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8C763D"/>
    <w:multiLevelType w:val="hybridMultilevel"/>
    <w:tmpl w:val="A2203D2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D2F6C43"/>
    <w:multiLevelType w:val="hybridMultilevel"/>
    <w:tmpl w:val="414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B00A0"/>
    <w:multiLevelType w:val="hybridMultilevel"/>
    <w:tmpl w:val="BE78B92E"/>
    <w:lvl w:ilvl="0" w:tplc="6398305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9667DA"/>
    <w:multiLevelType w:val="hybridMultilevel"/>
    <w:tmpl w:val="CC94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A50D2"/>
    <w:multiLevelType w:val="hybridMultilevel"/>
    <w:tmpl w:val="AD46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6D91"/>
    <w:multiLevelType w:val="hybridMultilevel"/>
    <w:tmpl w:val="C2A4BE8E"/>
    <w:lvl w:ilvl="0" w:tplc="6720A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8364A3"/>
    <w:multiLevelType w:val="multilevel"/>
    <w:tmpl w:val="412E04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8C69C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733DC5"/>
    <w:multiLevelType w:val="hybridMultilevel"/>
    <w:tmpl w:val="60E2538C"/>
    <w:lvl w:ilvl="0" w:tplc="46EAE3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810D94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C4662C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5225F2"/>
    <w:multiLevelType w:val="hybridMultilevel"/>
    <w:tmpl w:val="1A78D774"/>
    <w:lvl w:ilvl="0" w:tplc="20A251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B35850"/>
    <w:multiLevelType w:val="hybridMultilevel"/>
    <w:tmpl w:val="94CAB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439216">
    <w:abstractNumId w:val="9"/>
  </w:num>
  <w:num w:numId="2" w16cid:durableId="1614288128">
    <w:abstractNumId w:val="9"/>
  </w:num>
  <w:num w:numId="3" w16cid:durableId="1407414869">
    <w:abstractNumId w:val="9"/>
  </w:num>
  <w:num w:numId="4" w16cid:durableId="822543553">
    <w:abstractNumId w:val="9"/>
  </w:num>
  <w:num w:numId="5" w16cid:durableId="711228360">
    <w:abstractNumId w:val="9"/>
  </w:num>
  <w:num w:numId="6" w16cid:durableId="659500590">
    <w:abstractNumId w:val="9"/>
  </w:num>
  <w:num w:numId="7" w16cid:durableId="1486388929">
    <w:abstractNumId w:val="9"/>
  </w:num>
  <w:num w:numId="8" w16cid:durableId="1186552791">
    <w:abstractNumId w:val="9"/>
  </w:num>
  <w:num w:numId="9" w16cid:durableId="1940677926">
    <w:abstractNumId w:val="9"/>
  </w:num>
  <w:num w:numId="10" w16cid:durableId="474644355">
    <w:abstractNumId w:val="9"/>
  </w:num>
  <w:num w:numId="11" w16cid:durableId="614141135">
    <w:abstractNumId w:val="9"/>
  </w:num>
  <w:num w:numId="12" w16cid:durableId="844057299">
    <w:abstractNumId w:val="9"/>
  </w:num>
  <w:num w:numId="13" w16cid:durableId="894657017">
    <w:abstractNumId w:val="9"/>
  </w:num>
  <w:num w:numId="14" w16cid:durableId="1461417091">
    <w:abstractNumId w:val="9"/>
  </w:num>
  <w:num w:numId="15" w16cid:durableId="2008165843">
    <w:abstractNumId w:val="9"/>
  </w:num>
  <w:num w:numId="16" w16cid:durableId="525994482">
    <w:abstractNumId w:val="9"/>
  </w:num>
  <w:num w:numId="17" w16cid:durableId="1836414600">
    <w:abstractNumId w:val="9"/>
  </w:num>
  <w:num w:numId="18" w16cid:durableId="2134865225">
    <w:abstractNumId w:val="9"/>
  </w:num>
  <w:num w:numId="19" w16cid:durableId="1087077819">
    <w:abstractNumId w:val="9"/>
  </w:num>
  <w:num w:numId="20" w16cid:durableId="673842826">
    <w:abstractNumId w:val="9"/>
  </w:num>
  <w:num w:numId="21" w16cid:durableId="109014245">
    <w:abstractNumId w:val="9"/>
  </w:num>
  <w:num w:numId="22" w16cid:durableId="1491948676">
    <w:abstractNumId w:val="9"/>
  </w:num>
  <w:num w:numId="23" w16cid:durableId="1862206701">
    <w:abstractNumId w:val="9"/>
  </w:num>
  <w:num w:numId="24" w16cid:durableId="1417555882">
    <w:abstractNumId w:val="8"/>
  </w:num>
  <w:num w:numId="25" w16cid:durableId="546529439">
    <w:abstractNumId w:val="3"/>
  </w:num>
  <w:num w:numId="26" w16cid:durableId="1178232878">
    <w:abstractNumId w:val="2"/>
  </w:num>
  <w:num w:numId="27" w16cid:durableId="1854032206">
    <w:abstractNumId w:val="1"/>
  </w:num>
  <w:num w:numId="28" w16cid:durableId="491989174">
    <w:abstractNumId w:val="0"/>
  </w:num>
  <w:num w:numId="29" w16cid:durableId="416950914">
    <w:abstractNumId w:val="7"/>
  </w:num>
  <w:num w:numId="30" w16cid:durableId="1281376734">
    <w:abstractNumId w:val="6"/>
  </w:num>
  <w:num w:numId="31" w16cid:durableId="747843641">
    <w:abstractNumId w:val="5"/>
  </w:num>
  <w:num w:numId="32" w16cid:durableId="593785728">
    <w:abstractNumId w:val="4"/>
  </w:num>
  <w:num w:numId="33" w16cid:durableId="1686983387">
    <w:abstractNumId w:val="22"/>
  </w:num>
  <w:num w:numId="34" w16cid:durableId="1007711733">
    <w:abstractNumId w:val="18"/>
  </w:num>
  <w:num w:numId="35" w16cid:durableId="1810586333">
    <w:abstractNumId w:val="21"/>
  </w:num>
  <w:num w:numId="36" w16cid:durableId="637077247">
    <w:abstractNumId w:val="13"/>
  </w:num>
  <w:num w:numId="37" w16cid:durableId="228731692">
    <w:abstractNumId w:val="10"/>
  </w:num>
  <w:num w:numId="38" w16cid:durableId="882209488">
    <w:abstractNumId w:val="14"/>
  </w:num>
  <w:num w:numId="39" w16cid:durableId="50689103">
    <w:abstractNumId w:val="16"/>
  </w:num>
  <w:num w:numId="40" w16cid:durableId="2098212672">
    <w:abstractNumId w:val="19"/>
  </w:num>
  <w:num w:numId="41" w16cid:durableId="1374889106">
    <w:abstractNumId w:val="23"/>
  </w:num>
  <w:num w:numId="42" w16cid:durableId="1168524778">
    <w:abstractNumId w:val="17"/>
  </w:num>
  <w:num w:numId="43" w16cid:durableId="1751536078">
    <w:abstractNumId w:val="12"/>
  </w:num>
  <w:num w:numId="44" w16cid:durableId="399444595">
    <w:abstractNumId w:val="24"/>
  </w:num>
  <w:num w:numId="45" w16cid:durableId="1202866598">
    <w:abstractNumId w:val="11"/>
  </w:num>
  <w:num w:numId="46" w16cid:durableId="787312055">
    <w:abstractNumId w:val="20"/>
  </w:num>
  <w:num w:numId="47" w16cid:durableId="1111240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44407"/>
    <w:rsid w:val="00060203"/>
    <w:rsid w:val="00070438"/>
    <w:rsid w:val="00077647"/>
    <w:rsid w:val="00090EB4"/>
    <w:rsid w:val="000A55E4"/>
    <w:rsid w:val="000A6521"/>
    <w:rsid w:val="000A7D2D"/>
    <w:rsid w:val="000B5559"/>
    <w:rsid w:val="00110390"/>
    <w:rsid w:val="00121DE3"/>
    <w:rsid w:val="00122EAA"/>
    <w:rsid w:val="00123272"/>
    <w:rsid w:val="00135F9F"/>
    <w:rsid w:val="001432F2"/>
    <w:rsid w:val="0014370D"/>
    <w:rsid w:val="00150002"/>
    <w:rsid w:val="0015429B"/>
    <w:rsid w:val="00155BF4"/>
    <w:rsid w:val="0016408E"/>
    <w:rsid w:val="00166129"/>
    <w:rsid w:val="00181AC9"/>
    <w:rsid w:val="00185BFC"/>
    <w:rsid w:val="00197F78"/>
    <w:rsid w:val="001A7DF8"/>
    <w:rsid w:val="001F53B4"/>
    <w:rsid w:val="0020211B"/>
    <w:rsid w:val="00202ED0"/>
    <w:rsid w:val="0022552A"/>
    <w:rsid w:val="00231524"/>
    <w:rsid w:val="00252556"/>
    <w:rsid w:val="002A57FC"/>
    <w:rsid w:val="002D0B98"/>
    <w:rsid w:val="002D48BE"/>
    <w:rsid w:val="002F4540"/>
    <w:rsid w:val="002F53E6"/>
    <w:rsid w:val="00305F1E"/>
    <w:rsid w:val="00306575"/>
    <w:rsid w:val="00335F9F"/>
    <w:rsid w:val="00341A68"/>
    <w:rsid w:val="00346C00"/>
    <w:rsid w:val="00354A18"/>
    <w:rsid w:val="003C1071"/>
    <w:rsid w:val="003C1C71"/>
    <w:rsid w:val="003C2F16"/>
    <w:rsid w:val="003D4DF2"/>
    <w:rsid w:val="003E5176"/>
    <w:rsid w:val="003F3591"/>
    <w:rsid w:val="003F4BA3"/>
    <w:rsid w:val="00404359"/>
    <w:rsid w:val="004044BF"/>
    <w:rsid w:val="00414E55"/>
    <w:rsid w:val="004270AE"/>
    <w:rsid w:val="00432073"/>
    <w:rsid w:val="0043419F"/>
    <w:rsid w:val="00436FBD"/>
    <w:rsid w:val="0045241A"/>
    <w:rsid w:val="0046190E"/>
    <w:rsid w:val="0047607E"/>
    <w:rsid w:val="00485FAD"/>
    <w:rsid w:val="004B43CA"/>
    <w:rsid w:val="004B4C48"/>
    <w:rsid w:val="004B73FF"/>
    <w:rsid w:val="004E0A02"/>
    <w:rsid w:val="004E3424"/>
    <w:rsid w:val="004F5805"/>
    <w:rsid w:val="004F6CE4"/>
    <w:rsid w:val="00500A85"/>
    <w:rsid w:val="00526CDD"/>
    <w:rsid w:val="00533D33"/>
    <w:rsid w:val="005442A6"/>
    <w:rsid w:val="0055784F"/>
    <w:rsid w:val="005819D5"/>
    <w:rsid w:val="005A3A7C"/>
    <w:rsid w:val="005A651B"/>
    <w:rsid w:val="005D1495"/>
    <w:rsid w:val="005E085A"/>
    <w:rsid w:val="00603207"/>
    <w:rsid w:val="006105CF"/>
    <w:rsid w:val="00611C83"/>
    <w:rsid w:val="0063707D"/>
    <w:rsid w:val="00644E94"/>
    <w:rsid w:val="00672EB8"/>
    <w:rsid w:val="006747BD"/>
    <w:rsid w:val="0067662D"/>
    <w:rsid w:val="0069682D"/>
    <w:rsid w:val="0069707D"/>
    <w:rsid w:val="006A0B95"/>
    <w:rsid w:val="006A43DD"/>
    <w:rsid w:val="006B605F"/>
    <w:rsid w:val="006B6B94"/>
    <w:rsid w:val="006B725F"/>
    <w:rsid w:val="006C5698"/>
    <w:rsid w:val="006D119A"/>
    <w:rsid w:val="006D6DE5"/>
    <w:rsid w:val="006E5990"/>
    <w:rsid w:val="006E7D24"/>
    <w:rsid w:val="00710258"/>
    <w:rsid w:val="007105D3"/>
    <w:rsid w:val="00762927"/>
    <w:rsid w:val="00764AF9"/>
    <w:rsid w:val="007A4EC5"/>
    <w:rsid w:val="007B211F"/>
    <w:rsid w:val="007C078D"/>
    <w:rsid w:val="007C7A71"/>
    <w:rsid w:val="00800CA8"/>
    <w:rsid w:val="00805DF6"/>
    <w:rsid w:val="00812D01"/>
    <w:rsid w:val="00821F16"/>
    <w:rsid w:val="008368C0"/>
    <w:rsid w:val="00841B5F"/>
    <w:rsid w:val="008428E6"/>
    <w:rsid w:val="0084396A"/>
    <w:rsid w:val="008443A5"/>
    <w:rsid w:val="00845B97"/>
    <w:rsid w:val="00854B7B"/>
    <w:rsid w:val="008616C6"/>
    <w:rsid w:val="00866FA2"/>
    <w:rsid w:val="008919CF"/>
    <w:rsid w:val="008A2CC7"/>
    <w:rsid w:val="008C1295"/>
    <w:rsid w:val="008C1729"/>
    <w:rsid w:val="008C422A"/>
    <w:rsid w:val="008C75DD"/>
    <w:rsid w:val="008E61CB"/>
    <w:rsid w:val="008F209D"/>
    <w:rsid w:val="00901EDA"/>
    <w:rsid w:val="0092003C"/>
    <w:rsid w:val="00932899"/>
    <w:rsid w:val="009821EC"/>
    <w:rsid w:val="00982DD0"/>
    <w:rsid w:val="009871E1"/>
    <w:rsid w:val="00991C91"/>
    <w:rsid w:val="00994F1B"/>
    <w:rsid w:val="009C426C"/>
    <w:rsid w:val="009D4C4D"/>
    <w:rsid w:val="009F7716"/>
    <w:rsid w:val="00A11083"/>
    <w:rsid w:val="00A3680D"/>
    <w:rsid w:val="00A36F46"/>
    <w:rsid w:val="00A40D30"/>
    <w:rsid w:val="00A52C29"/>
    <w:rsid w:val="00A62322"/>
    <w:rsid w:val="00A6295A"/>
    <w:rsid w:val="00A7588F"/>
    <w:rsid w:val="00A8595B"/>
    <w:rsid w:val="00A943A3"/>
    <w:rsid w:val="00AC45ED"/>
    <w:rsid w:val="00AC7848"/>
    <w:rsid w:val="00AD0421"/>
    <w:rsid w:val="00AF2732"/>
    <w:rsid w:val="00B2124E"/>
    <w:rsid w:val="00B37E6E"/>
    <w:rsid w:val="00B56391"/>
    <w:rsid w:val="00B61F8A"/>
    <w:rsid w:val="00B64041"/>
    <w:rsid w:val="00B7224A"/>
    <w:rsid w:val="00B8665C"/>
    <w:rsid w:val="00B902BE"/>
    <w:rsid w:val="00B9152C"/>
    <w:rsid w:val="00B96555"/>
    <w:rsid w:val="00BA32A1"/>
    <w:rsid w:val="00BB0061"/>
    <w:rsid w:val="00BB7FEE"/>
    <w:rsid w:val="00BD0666"/>
    <w:rsid w:val="00BF26E6"/>
    <w:rsid w:val="00C01198"/>
    <w:rsid w:val="00C0678D"/>
    <w:rsid w:val="00C1256D"/>
    <w:rsid w:val="00C509B1"/>
    <w:rsid w:val="00C619C0"/>
    <w:rsid w:val="00C67185"/>
    <w:rsid w:val="00C704E6"/>
    <w:rsid w:val="00C736D5"/>
    <w:rsid w:val="00C94AF9"/>
    <w:rsid w:val="00C973FA"/>
    <w:rsid w:val="00CA520B"/>
    <w:rsid w:val="00CE4911"/>
    <w:rsid w:val="00D005B3"/>
    <w:rsid w:val="00D06D36"/>
    <w:rsid w:val="00D30A99"/>
    <w:rsid w:val="00D31057"/>
    <w:rsid w:val="00D40690"/>
    <w:rsid w:val="00D723A0"/>
    <w:rsid w:val="00DA52A1"/>
    <w:rsid w:val="00DA6710"/>
    <w:rsid w:val="00DB0107"/>
    <w:rsid w:val="00DC26F2"/>
    <w:rsid w:val="00DC64BC"/>
    <w:rsid w:val="00DD6A7E"/>
    <w:rsid w:val="00E00E97"/>
    <w:rsid w:val="00E45E84"/>
    <w:rsid w:val="00E66AD9"/>
    <w:rsid w:val="00E73AC4"/>
    <w:rsid w:val="00E85047"/>
    <w:rsid w:val="00EA1A38"/>
    <w:rsid w:val="00EC4A8F"/>
    <w:rsid w:val="00ED65DE"/>
    <w:rsid w:val="00EE493C"/>
    <w:rsid w:val="00EE5CAB"/>
    <w:rsid w:val="00F01571"/>
    <w:rsid w:val="00F16D2E"/>
    <w:rsid w:val="00F17947"/>
    <w:rsid w:val="00F348FC"/>
    <w:rsid w:val="00F41D43"/>
    <w:rsid w:val="00F53A2C"/>
    <w:rsid w:val="00F8071A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430DC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ekielski@imif.lukasiewic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rek.ekielski@imif.lukasiewic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</vt:lpstr>
    </vt:vector>
  </TitlesOfParts>
  <Company>ITE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</dc:title>
  <dc:subject/>
  <dc:creator>Jerzy KĄTCKI</dc:creator>
  <cp:keywords/>
  <dc:description/>
  <cp:lastModifiedBy>Mateusz Kołakowski | Łukasiewicz – IMIF</cp:lastModifiedBy>
  <cp:revision>2</cp:revision>
  <cp:lastPrinted>2025-04-16T10:50:00Z</cp:lastPrinted>
  <dcterms:created xsi:type="dcterms:W3CDTF">2025-05-14T04:37:00Z</dcterms:created>
  <dcterms:modified xsi:type="dcterms:W3CDTF">2025-05-14T04:37:00Z</dcterms:modified>
</cp:coreProperties>
</file>